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Båstad kommunfullmäktige</w:t>
      </w:r>
    </w:p>
    <w:p>
      <w:pPr>
        <w:pStyle w:val="Heading1"/>
      </w:pPr>
      <w:r>
        <w:t xml:space="preserve">Fler hyresrätter för unga och säsongsarbetare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Båstad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Båstad har Sveriges högsta bostadspriser per kvm utanför storstäderna. Endast 12 % hyresrätter enligt Boverket 2024. Unga flyttar ut och säsongsarbetare inom turism saknar boende. Detta hämmar både inflyttning och näringslivets kompetensförsörjning.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Båstad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kommunstyrelsen att ta fram en handlingsplan för minst 150 nya hyresrätter fram till 2030 med särskilt fokus på unga och säsongsarbetare.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markanvisningar till allmännyttiga bostadsbolag.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krav på minst 30 % hyresrätter i alla nya detaljplaner med fler än 10 bostäder.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2 mnkr årligen till subventionerade hyresgarantier för unga under 30 år.</w:t>
      </w:r>
    </w:p>
    <w:p>
      <w:pPr>
        <w:spacing w:before="360"/>
      </w:pPr>
    </w:p>
    <w:p>
      <w:r>
        <w:t xml:space="preserve">Båstad,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Båstad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2026-07-13T23:46:13.062Z</dcterms:created>
  <dcterms:modified xsi:type="dcterms:W3CDTF">2026-07-13T23:46:13.062Z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